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065D" w:rsidRDefault="000B065D" w:rsidR="00E01CCC" w14:paraId="01000000" w14:textId="77777777">
      <w:pPr>
        <w:jc w:val="center"/>
        <w:rPr>
          <w:rFonts w:hAnsi="Times New Roman" w:ascii="Times New Roman"/>
          <w:b/>
          <w:sz w:val="28"/>
          <w:u w:val="single"/>
          <w:lang w:val="ru-RU"/>
        </w:rPr>
      </w:pPr>
      <w:bookmarkStart w:id="0" w:name="_GoBack"/>
      <w:bookmarkEnd w:id="0"/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Замоскворецкая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межрайонная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прокуратура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г.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Москвы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b/>
          <w:sz w:val="32"/>
          <w:shd w:val="clear" w:color="auto" w:fill="FEFFFF"/>
          <w:lang w:val="ru-RU"/>
        </w:rPr>
        <w:t>разъясняет</w:t>
      </w:r>
      <w:r>
        <w:rPr>
          <w:rFonts w:hAnsi="Times New Roman" w:ascii="Times New Roman"/>
          <w:rStyle w:val="et_1"/>
        </w:rPr>
        <w:t xml:space="preserve"> </w:t>
      </w:r>
    </w:p>
    <w:p w:rsidRPr="000B065D" w:rsidRDefault="000B065D" w:rsidR="00E01CCC" w14:paraId="02000000" w14:textId="77777777">
      <w:pPr>
        <w:jc w:val="center"/>
        <w:rPr>
          <w:rFonts w:hAnsi="Times New Roman" w:ascii="Times New Roman"/>
          <w:sz w:val="28"/>
          <w:u w:val="single"/>
          <w:lang w:val="ru-RU"/>
        </w:rPr>
      </w:pPr>
      <w:r w:rsidRPr="000B065D">
        <w:rPr>
          <w:rFonts w:hAnsi="Times New Roman" w:ascii="Times New Roman"/>
          <w:sz w:val="32"/>
          <w:lang w:val="ru-RU"/>
        </w:rPr>
        <w:t xml:space="preserve">ответственность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32"/>
          <w:highlight w:val="white"/>
          <w:lang w:val="ru-RU"/>
        </w:rPr>
        <w:t>за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32"/>
          <w:highlight w:val="white"/>
          <w:lang w:val="ru-RU"/>
        </w:rPr>
        <w:t>нецелевое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32"/>
          <w:highlight w:val="white"/>
          <w:lang w:val="ru-RU"/>
        </w:rPr>
        <w:t>использование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32"/>
          <w:highlight w:val="white"/>
          <w:lang w:val="ru-RU"/>
        </w:rPr>
        <w:t>нежилых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32"/>
          <w:highlight w:val="white"/>
          <w:lang w:val="ru-RU"/>
        </w:rPr>
        <w:t>помещений</w:t>
      </w:r>
    </w:p>
    <w:p w:rsidRPr="000B065D" w:rsidRDefault="00E01CCC" w:rsidR="00E01CCC" w14:paraId="03000000" w14:textId="77777777">
      <w:pPr>
        <w:spacing w:before="168"/>
        <w:jc w:val="both"/>
        <w:rPr>
          <w:rFonts w:hAnsi="Times New Roman" w:ascii="Times New Roman"/>
          <w:sz w:val="28"/>
          <w:u w:val="single"/>
          <w:lang w:val="ru-RU"/>
        </w:rPr>
      </w:pPr>
    </w:p>
    <w:p w:rsidRPr="000B065D" w:rsidRDefault="000B065D" w:rsidR="00E01CCC" w14:paraId="04000000" w14:textId="77777777">
      <w:pPr>
        <w:ind w:firstLine="709"/>
        <w:jc w:val="both"/>
        <w:rPr>
          <w:rFonts w:hAnsi="Times New Roman" w:ascii="Times New Roman"/>
          <w:sz w:val="28"/>
          <w:u w:val="single"/>
          <w:lang w:val="ru-RU"/>
        </w:rPr>
      </w:pPr>
      <w:r w:rsidRPr="000B065D">
        <w:rPr>
          <w:rFonts w:hAnsi="Times New Roman" w:ascii="Times New Roman"/>
          <w:sz w:val="28"/>
          <w:highlight w:val="white"/>
          <w:lang w:val="ru-RU"/>
        </w:rPr>
        <w:t>За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нецелевое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использование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нежилых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помещений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установлена,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первую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очередь,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административная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>ответственность.</w:t>
      </w:r>
    </w:p>
    <w:p w:rsidRPr="000B065D" w:rsidRDefault="000B065D" w:rsidR="00E01CCC" w14:paraId="05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highlight w:val="white"/>
          <w:lang w:val="ru-RU"/>
        </w:rPr>
        <w:tab/>
      </w:r>
      <w:r w:rsidRPr="000B065D">
        <w:rPr>
          <w:rFonts w:hAnsi="Times New Roman" w:ascii="Times New Roman"/>
          <w:sz w:val="28"/>
          <w:highlight w:val="white"/>
          <w:lang w:val="ru-RU"/>
        </w:rPr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Административная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ответственность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предусмотрена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ч.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2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ст.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7.24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КоАП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РФ,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br/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в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соответствии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с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highlight w:val="white"/>
          <w:lang w:val="ru-RU"/>
        </w:rPr>
        <w:t xml:space="preserve">которой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использование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находящегося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федеральной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собственности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нежилого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фонда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без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надлежаще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оформленных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документов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либо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нарушением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установленных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норм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правил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эксплуатации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содержания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объектов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нежилого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фонда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влечет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наложение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административного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штрафа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граждан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размере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1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1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500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рублей;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должностных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лиц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-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2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3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рублей;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br/>
      </w:r>
      <w:r w:rsidRPr="000B065D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юридических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20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30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рублей.</w:t>
      </w:r>
    </w:p>
    <w:p w:rsidRPr="000B065D" w:rsidRDefault="000B065D" w:rsidR="00E01CCC" w14:paraId="06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>Таким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образом,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если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помещение,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находящегося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федеральной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собственности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объекта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нежилого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фонда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используется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без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договора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аренды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или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истек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его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срок,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br/>
      </w:r>
      <w:r w:rsidRPr="000B065D">
        <w:rPr>
          <w:rFonts w:hAnsi="Times New Roman" w:ascii="Times New Roman"/>
          <w:sz w:val="28"/>
          <w:lang w:val="ru-RU"/>
        </w:rPr>
        <w:t>но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при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таким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помещением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продолжают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пользоваться,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также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случае,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если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помещение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используется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лицом,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которому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оне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передава</w:t>
      </w:r>
      <w:r w:rsidRPr="000B065D">
        <w:rPr>
          <w:rFonts w:hAnsi="Times New Roman" w:ascii="Times New Roman"/>
          <w:sz w:val="28"/>
          <w:lang w:val="ru-RU"/>
        </w:rPr>
        <w:t xml:space="preserve">лось.</w:t>
      </w:r>
      <w:r>
        <w:rPr>
          <w:rFonts w:hAnsi="Times New Roman" w:ascii="Times New Roman"/>
          <w:rStyle w:val="et_2"/>
        </w:rPr>
        <w:t xml:space="preserve"> </w:t>
      </w:r>
    </w:p>
    <w:p w:rsidRPr="000B065D" w:rsidRDefault="000B065D" w:rsidR="00E01CCC" w14:paraId="07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>Административная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ответственность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наступает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том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случае,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если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помещение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используется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для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тех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целей,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которые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предусмотрены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соответствующим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договором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аренды.</w:t>
      </w:r>
    </w:p>
    <w:p w:rsidRPr="000B065D" w:rsidRDefault="000B065D" w:rsidR="00E01CCC" w14:paraId="08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>Кто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может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быть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привлечен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к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административной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ответственности:</w:t>
      </w:r>
    </w:p>
    <w:p w:rsidRPr="000B065D" w:rsidRDefault="000B065D" w:rsidR="00E01CCC" w14:paraId="09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граждане;</w:t>
      </w:r>
    </w:p>
    <w:p w:rsidRPr="000B065D" w:rsidRDefault="000B065D" w:rsidR="00E01CCC" w14:paraId="0A000000" w14:textId="77777777">
      <w:pPr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ab/>
      </w:r>
      <w:r w:rsidRPr="000B065D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индивидуальн</w:t>
      </w:r>
      <w:r w:rsidRPr="000B065D">
        <w:rPr>
          <w:rFonts w:hAnsi="Times New Roman" w:ascii="Times New Roman"/>
          <w:sz w:val="28"/>
          <w:lang w:val="ru-RU"/>
        </w:rPr>
        <w:t>ые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предприниматели;</w:t>
      </w:r>
    </w:p>
    <w:p w:rsidRPr="000B065D" w:rsidRDefault="000B065D" w:rsidR="00E01CCC" w14:paraId="0B000000" w14:textId="77777777">
      <w:pPr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ab/>
      </w:r>
      <w:r w:rsidRPr="000B065D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юридические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лица;</w:t>
      </w:r>
    </w:p>
    <w:p w:rsidRPr="000B065D" w:rsidRDefault="000B065D" w:rsidR="00E01CCC" w14:paraId="0C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должностные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юридических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лиц;</w:t>
      </w:r>
    </w:p>
    <w:p w:rsidRPr="000B065D" w:rsidRDefault="000B065D" w:rsidR="00E01CCC" w14:paraId="0D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ab/>
      </w:r>
      <w:r w:rsidRPr="000B065D">
        <w:rPr>
          <w:rFonts w:hAnsi="Times New Roman" w:ascii="Times New Roman"/>
          <w:sz w:val="28"/>
          <w:lang w:val="ru-RU"/>
        </w:rPr>
        <w:t>Кроме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того,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законодательством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г.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Москвы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установлена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административная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ответственность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за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нарушения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сфере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использования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нежилых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помещений.</w:t>
      </w:r>
    </w:p>
    <w:p w:rsidRPr="000B065D" w:rsidRDefault="000B065D" w:rsidR="00E01CCC" w14:paraId="0E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ab/>
      </w:r>
      <w:r w:rsidRPr="000B065D">
        <w:rPr>
          <w:rFonts w:hAnsi="Times New Roman" w:ascii="Times New Roman"/>
          <w:sz w:val="28"/>
          <w:lang w:val="ru-RU"/>
        </w:rPr>
        <w:t>Так,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согласно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ч.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1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ст.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9.4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КоАП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г.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Мос</w:t>
      </w:r>
      <w:r w:rsidRPr="000B065D">
        <w:rPr>
          <w:rFonts w:hAnsi="Times New Roman" w:ascii="Times New Roman"/>
          <w:sz w:val="28"/>
          <w:lang w:val="ru-RU"/>
        </w:rPr>
        <w:t xml:space="preserve">квы,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нарушение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установленного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Правительством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Москвы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порядка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занятия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(или)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использования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объектов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нежилого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фонда,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находящихся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собственности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города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Москвы,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влечет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наложение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административного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штрафа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граждан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размере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3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рублей;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должностных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лиц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–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10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30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рублей;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юридических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лиц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–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100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до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200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рублей.</w:t>
      </w:r>
      <w:r>
        <w:rPr>
          <w:rFonts w:hAnsi="Times New Roman" w:ascii="Times New Roman"/>
          <w:rStyle w:val="et_2"/>
        </w:rPr>
        <w:t xml:space="preserve"> </w:t>
      </w:r>
    </w:p>
    <w:p w:rsidRPr="000B065D" w:rsidRDefault="000B065D" w:rsidR="00E01CCC" w14:paraId="0F000000" w14:textId="77777777">
      <w:pPr>
        <w:ind w:firstLine="709"/>
        <w:jc w:val="both"/>
        <w:outlineLvl w:val="8"/>
        <w:rPr>
          <w:rFonts w:hAnsi="Times New Roman" w:ascii="Times New Roman"/>
          <w:sz w:val="28"/>
          <w:shd w:val="clear" w:color="auto" w:fill="F8D957"/>
          <w:lang w:val="ru-RU"/>
        </w:rPr>
      </w:pPr>
      <w:r w:rsidRPr="000B065D">
        <w:rPr>
          <w:rFonts w:hAnsi="Times New Roman" w:ascii="Times New Roman"/>
          <w:sz w:val="28"/>
          <w:lang w:val="ru-RU"/>
        </w:rPr>
        <w:t xml:space="preserve">Также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предусмотрена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ответственность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за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нарушение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установленного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Правительством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Москвы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порядка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занятия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(или)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использования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объектов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lastRenderedPageBreak/>
        <w:t>нежилого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фонда,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являющихся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объектами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культу</w:t>
      </w:r>
      <w:r w:rsidRPr="000B065D">
        <w:rPr>
          <w:rFonts w:hAnsi="Times New Roman" w:ascii="Times New Roman"/>
          <w:sz w:val="28"/>
          <w:lang w:val="ru-RU"/>
        </w:rPr>
        <w:t xml:space="preserve">рного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наследия,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выявленными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объектами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наследия,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что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 xml:space="preserve">влечет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наложение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административного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штрафа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граждан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размере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5000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рублей;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должностных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–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40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50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тысяч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рублей;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юридических</w:t>
      </w:r>
      <w:r>
        <w:rPr>
          <w:rFonts w:hAnsi="Times New Roman" w:ascii="Times New Roman"/>
          <w:rStyle w:val="et_0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лиц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–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400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до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600</w:t>
      </w:r>
      <w:r>
        <w:rPr>
          <w:rFonts w:hAnsi="Times New Roman" w:ascii="Times New Roman"/>
          <w:rStyle w:val="et_3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1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тысяч</w:t>
      </w:r>
      <w:r>
        <w:rPr>
          <w:rFonts w:hAnsi="Times New Roman" w:ascii="Times New Roman"/>
          <w:rStyle w:val="et_2"/>
        </w:rPr>
        <w:t xml:space="preserve"> </w:t>
      </w:r>
      <w:r w:rsidRPr="000B065D">
        <w:rPr>
          <w:rFonts w:hAnsi="Times New Roman" w:ascii="Times New Roman"/>
          <w:sz w:val="28"/>
          <w:lang w:val="ru-RU"/>
        </w:rPr>
        <w:t>рублей.</w:t>
      </w:r>
    </w:p>
    <w:p w:rsidRPr="000B065D" w:rsidRDefault="00E01CCC" w:rsidR="00E01CCC" w14:paraId="10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p w:rsidRPr="000B065D" w:rsidRDefault="00E01CCC" w:rsidR="00E01CCC" w14:paraId="11000000" w14:textId="77777777">
      <w:pPr>
        <w:ind w:firstLine="709"/>
        <w:jc w:val="both"/>
        <w:rPr>
          <w:sz w:val="28"/>
          <w:lang w:val="ru-RU"/>
        </w:rPr>
      </w:pPr>
    </w:p>
    <w:p w:rsidRPr="000B065D" w:rsidRDefault="00E01CCC" w:rsidR="00E01CCC" w14:paraId="12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p w:rsidRPr="000B065D" w:rsidRDefault="00E01CCC" w:rsidR="00E01CCC" w14:paraId="13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p w:rsidRPr="000B065D" w:rsidRDefault="00E01CCC" w:rsidR="00E01CCC" w14:paraId="14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sectPr w:rsidRPr="000B065D" w:rsidR="00E01CCC">
      <w:pgSz w:w="12240" w:h="15840"/>
      <w:pgMar w:gutter="0" w:bottom="1440" w:left="1440" w:footer="720" w:top="1440" w:right="1440" w:head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CC"/>
    <w:rsid w:val="000B065D"/>
    <w:rsid w:val="00930D8C"/>
    <w:rsid w:val="00E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11D23-0739-4059-AB23-62E48C7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hAnsi="XO Thames" w:cs="Times New Roman" w:eastAsia="Times New Roman" w:ascii="XO Thames"/>
        <w:color w:val="000000"/>
        <w:sz w:val="24"/>
        <w:lang w:bidi="ar-SA" w:val="en-US" w:eastAsia="en-US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link w:val="1"/>
    <w:qFormat/>
  </w:style>
  <w:style w:styleId="10" w:type="paragraph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styleId="2" w:type="paragraph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styleId="3" w:type="paragraph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styleId="4" w:type="paragraph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styleId="5" w:type="paragraph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character">
    <w:name w:val="Обычный1"/>
  </w:style>
  <w:style w:styleId="21" w:type="paragraph">
    <w:name w:val="toc 2"/>
    <w:next w:val="a"/>
    <w:link w:val="22"/>
    <w:uiPriority w:val="39"/>
    <w:pPr>
      <w:ind w:left="200"/>
    </w:pPr>
    <w:rPr>
      <w:sz w:val="28"/>
    </w:rPr>
  </w:style>
  <w:style w:styleId="22" w:customStyle="1" w:type="character">
    <w:name w:val="Оглавление 2 Знак"/>
    <w:link w:val="21"/>
    <w:rPr>
      <w:rFonts w:hAnsi="XO Thames" w:asci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sz w:val="28"/>
    </w:rPr>
  </w:style>
  <w:style w:styleId="42" w:customStyle="1" w:type="character">
    <w:name w:val="Оглавление 4 Знак"/>
    <w:link w:val="41"/>
    <w:rPr>
      <w:rFonts w:hAnsi="XO Thames" w:ascii="XO Thames"/>
      <w:sz w:val="28"/>
    </w:rPr>
  </w:style>
  <w:style w:styleId="6" w:type="paragraph">
    <w:name w:val="toc 6"/>
    <w:next w:val="a"/>
    <w:link w:val="60"/>
    <w:uiPriority w:val="39"/>
    <w:pPr>
      <w:ind w:left="1000"/>
    </w:pPr>
    <w:rPr>
      <w:sz w:val="28"/>
    </w:rPr>
  </w:style>
  <w:style w:styleId="60" w:customStyle="1" w:type="character">
    <w:name w:val="Оглавление 6 Знак"/>
    <w:link w:val="6"/>
    <w:rPr>
      <w:rFonts w:hAnsi="XO Thames" w:ascii="XO Thames"/>
      <w:sz w:val="28"/>
    </w:rPr>
  </w:style>
  <w:style w:styleId="7" w:type="paragraph">
    <w:name w:val="toc 7"/>
    <w:next w:val="a"/>
    <w:link w:val="70"/>
    <w:uiPriority w:val="39"/>
    <w:pPr>
      <w:ind w:left="1200"/>
    </w:pPr>
    <w:rPr>
      <w:sz w:val="28"/>
    </w:rPr>
  </w:style>
  <w:style w:styleId="70" w:customStyle="1" w:type="character">
    <w:name w:val="Оглавление 7 Знак"/>
    <w:link w:val="7"/>
    <w:rPr>
      <w:rFonts w:hAnsi="XO Thames" w:ascii="XO Thames"/>
      <w:sz w:val="28"/>
    </w:rPr>
  </w:style>
  <w:style w:styleId="Endnote" w:customStyle="1" w:type="paragraph">
    <w:name w:val="Endnote"/>
    <w:link w:val="Endnote0"/>
    <w:pPr>
      <w:ind w:firstLine="851"/>
      <w:jc w:val="both"/>
    </w:pPr>
    <w:rPr>
      <w:sz w:val="22"/>
    </w:rPr>
  </w:style>
  <w:style w:styleId="Endnote0" w:customStyle="1" w:type="character">
    <w:name w:val="Endnote"/>
    <w:link w:val="Endnote"/>
    <w:rPr>
      <w:rFonts w:hAnsi="XO Thames" w:ascii="XO Thames"/>
      <w:sz w:val="22"/>
    </w:rPr>
  </w:style>
  <w:style w:styleId="30" w:customStyle="1" w:type="character">
    <w:name w:val="Заголовок 3 Знак"/>
    <w:link w:val="3"/>
    <w:rPr>
      <w:rFonts w:hAnsi="XO Thames" w:ascii="XO Thames"/>
      <w:b/>
      <w:sz w:val="26"/>
    </w:rPr>
  </w:style>
  <w:style w:styleId="31" w:type="paragraph">
    <w:name w:val="toc 3"/>
    <w:next w:val="a"/>
    <w:link w:val="32"/>
    <w:uiPriority w:val="39"/>
    <w:pPr>
      <w:ind w:left="400"/>
    </w:pPr>
    <w:rPr>
      <w:sz w:val="28"/>
    </w:rPr>
  </w:style>
  <w:style w:styleId="32" w:customStyle="1" w:type="character">
    <w:name w:val="Оглавление 3 Знак"/>
    <w:link w:val="31"/>
    <w:rPr>
      <w:rFonts w:hAnsi="XO Thames" w:ascii="XO Thames"/>
      <w:sz w:val="28"/>
    </w:rPr>
  </w:style>
  <w:style w:styleId="50" w:customStyle="1" w:type="character">
    <w:name w:val="Заголовок 5 Знак"/>
    <w:link w:val="5"/>
    <w:rPr>
      <w:rFonts w:hAnsi="XO Thames" w:ascii="XO Thames"/>
      <w:b/>
      <w:sz w:val="22"/>
    </w:rPr>
  </w:style>
  <w:style w:styleId="11" w:customStyle="1" w:type="character">
    <w:name w:val="Заголовок 1 Знак"/>
    <w:link w:val="10"/>
    <w:rPr>
      <w:rFonts w:hAnsi="XO Thames" w:ascii="XO Thames"/>
      <w:b/>
      <w:sz w:val="32"/>
    </w:rPr>
  </w:style>
  <w:style w:styleId="12" w:customStyle="1" w:type="paragraph">
    <w:name w:val="Гиперссылка1"/>
    <w:link w:val="a3"/>
    <w:rPr>
      <w:color w:val="0000FF"/>
      <w:u w:val="single"/>
    </w:rPr>
  </w:style>
  <w:style w:styleId="a3" w:type="character">
    <w:name w:val="Hyperlink"/>
    <w:link w:val="12"/>
    <w:rPr>
      <w:color w:val="0000FF"/>
      <w:u w:val="single"/>
    </w:rPr>
  </w:style>
  <w:style w:styleId="Footnote" w:customStyle="1" w:type="paragraph">
    <w:name w:val="Footnote"/>
    <w:link w:val="Footnote0"/>
    <w:pPr>
      <w:ind w:firstLine="851"/>
      <w:jc w:val="both"/>
    </w:pPr>
    <w:rPr>
      <w:sz w:val="22"/>
    </w:rPr>
  </w:style>
  <w:style w:styleId="Footnote0" w:customStyle="1" w:type="character">
    <w:name w:val="Footnote"/>
    <w:link w:val="Footnote"/>
    <w:rPr>
      <w:rFonts w:hAnsi="XO Thames" w:ascii="XO Thames"/>
      <w:sz w:val="22"/>
    </w:rPr>
  </w:style>
  <w:style w:styleId="13" w:type="paragraph">
    <w:name w:val="toc 1"/>
    <w:next w:val="a"/>
    <w:link w:val="14"/>
    <w:uiPriority w:val="39"/>
    <w:rPr>
      <w:b/>
      <w:sz w:val="28"/>
    </w:rPr>
  </w:style>
  <w:style w:styleId="14" w:customStyle="1" w:type="character">
    <w:name w:val="Оглавление 1 Знак"/>
    <w:link w:val="13"/>
    <w:rPr>
      <w:rFonts w:hAnsi="XO Thames" w:ascii="XO Thames"/>
      <w:b/>
      <w:sz w:val="28"/>
    </w:rPr>
  </w:style>
  <w:style w:styleId="HeaderandFooter" w:customStyle="1" w:type="paragraph">
    <w:name w:val="Header and Footer"/>
    <w:link w:val="HeaderandFooter0"/>
    <w:pPr>
      <w:jc w:val="both"/>
    </w:pPr>
    <w:rPr>
      <w:sz w:val="28"/>
    </w:rPr>
  </w:style>
  <w:style w:styleId="HeaderandFooter0" w:customStyle="1" w:type="character">
    <w:name w:val="Header and Footer"/>
    <w:link w:val="HeaderandFooter"/>
    <w:rPr>
      <w:rFonts w:hAnsi="XO Thames" w:ascii="XO Thames"/>
      <w:sz w:val="28"/>
    </w:rPr>
  </w:style>
  <w:style w:styleId="9" w:type="paragraph">
    <w:name w:val="toc 9"/>
    <w:next w:val="a"/>
    <w:link w:val="90"/>
    <w:uiPriority w:val="39"/>
    <w:pPr>
      <w:ind w:left="1600"/>
    </w:pPr>
    <w:rPr>
      <w:sz w:val="28"/>
    </w:rPr>
  </w:style>
  <w:style w:styleId="90" w:customStyle="1" w:type="character">
    <w:name w:val="Оглавление 9 Знак"/>
    <w:link w:val="9"/>
    <w:rPr>
      <w:rFonts w:hAnsi="XO Thames" w:ascii="XO Thames"/>
      <w:sz w:val="28"/>
    </w:rPr>
  </w:style>
  <w:style w:styleId="8" w:type="paragraph">
    <w:name w:val="toc 8"/>
    <w:next w:val="a"/>
    <w:link w:val="80"/>
    <w:uiPriority w:val="39"/>
    <w:pPr>
      <w:ind w:left="1400"/>
    </w:pPr>
    <w:rPr>
      <w:sz w:val="28"/>
    </w:rPr>
  </w:style>
  <w:style w:styleId="80" w:customStyle="1" w:type="character">
    <w:name w:val="Оглавление 8 Знак"/>
    <w:link w:val="8"/>
    <w:rPr>
      <w:rFonts w:hAnsi="XO Thames" w:ascii="XO Thames"/>
      <w:sz w:val="28"/>
    </w:rPr>
  </w:style>
  <w:style w:styleId="51" w:type="paragraph">
    <w:name w:val="toc 5"/>
    <w:next w:val="a"/>
    <w:link w:val="52"/>
    <w:uiPriority w:val="39"/>
    <w:pPr>
      <w:ind w:left="800"/>
    </w:pPr>
    <w:rPr>
      <w:sz w:val="28"/>
    </w:rPr>
  </w:style>
  <w:style w:styleId="52" w:customStyle="1" w:type="character">
    <w:name w:val="Оглавление 5 Знак"/>
    <w:link w:val="51"/>
    <w:rPr>
      <w:rFonts w:hAnsi="XO Thames" w:ascii="XO Thames"/>
      <w:sz w:val="28"/>
    </w:rPr>
  </w:style>
  <w:style w:styleId="a4" w:type="paragraph">
    <w:name w:val="Subtitle"/>
    <w:next w:val="a"/>
    <w:link w:val="a5"/>
    <w:uiPriority w:val="11"/>
    <w:qFormat/>
    <w:pPr>
      <w:jc w:val="both"/>
    </w:pPr>
    <w:rPr>
      <w:i/>
    </w:rPr>
  </w:style>
  <w:style w:styleId="a5" w:customStyle="1" w:type="character">
    <w:name w:val="Подзаголовок Знак"/>
    <w:link w:val="a4"/>
    <w:rPr>
      <w:rFonts w:hAnsi="XO Thames" w:ascii="XO Thames"/>
      <w:i/>
      <w:sz w:val="24"/>
    </w:rPr>
  </w:style>
  <w:style w:styleId="a6" w:type="paragraph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styleId="a7" w:customStyle="1" w:type="character">
    <w:name w:val="Заголовок Знак"/>
    <w:link w:val="a6"/>
    <w:rPr>
      <w:rFonts w:hAnsi="XO Thames" w:ascii="XO Thames"/>
      <w:b/>
      <w:caps/>
      <w:sz w:val="40"/>
    </w:rPr>
  </w:style>
  <w:style w:styleId="40" w:customStyle="1" w:type="character">
    <w:name w:val="Заголовок 4 Знак"/>
    <w:link w:val="4"/>
    <w:rPr>
      <w:rFonts w:hAnsi="XO Thames" w:ascii="XO Thames"/>
      <w:b/>
      <w:sz w:val="24"/>
    </w:rPr>
  </w:style>
  <w:style w:styleId="20" w:customStyle="1" w:type="character">
    <w:name w:val="Заголовок 2 Знак"/>
    <w:link w:val="2"/>
    <w:rPr>
      <w:rFonts w:hAnsi="XO Thames" w:ascii="XO Thames"/>
      <w:b/>
      <w:sz w:val="2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2026-03-13T12:21:00Z</dcterms:created>
  <dcterms:modified xsi:type="dcterms:W3CDTF">2026-03-13T12:21:00Z</dcterms:modified>
</cp:coreProperties>
</file>